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5E2C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56"/>
          <w:szCs w:val="56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5C3A13EC" wp14:editId="3B1B2278">
            <wp:extent cx="2389505" cy="1188720"/>
            <wp:effectExtent l="0" t="0" r="0" b="0"/>
            <wp:docPr id="5" name="Obrázek 4" descr="UP_logo_PdF_UP_horizont_c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UP_logo_PdF_UP_horizont_cz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E2C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56"/>
          <w:szCs w:val="56"/>
          <w:shd w:val="clear" w:color="auto" w:fill="FFFFFF" w:themeFill="background1"/>
        </w:rPr>
      </w:pPr>
    </w:p>
    <w:p w:rsidR="003F5E2C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56"/>
          <w:szCs w:val="56"/>
          <w:shd w:val="clear" w:color="auto" w:fill="FFFFFF" w:themeFill="background1"/>
        </w:rPr>
      </w:pPr>
    </w:p>
    <w:p w:rsidR="001B5FA5" w:rsidRPr="001B5FA5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56"/>
          <w:szCs w:val="56"/>
          <w:shd w:val="clear" w:color="auto" w:fill="FFFFFF" w:themeFill="background1"/>
        </w:rPr>
      </w:pPr>
      <w:r w:rsidRPr="001B5FA5">
        <w:rPr>
          <w:rStyle w:val="fontsmall"/>
          <w:rFonts w:asciiTheme="minorHAnsi" w:hAnsiTheme="minorHAnsi" w:cs="Arial"/>
          <w:color w:val="000000"/>
          <w:sz w:val="56"/>
          <w:szCs w:val="56"/>
          <w:shd w:val="clear" w:color="auto" w:fill="FFFFFF" w:themeFill="background1"/>
        </w:rPr>
        <w:t>Centrum inovací ve vzdělávání (CIV)</w:t>
      </w:r>
    </w:p>
    <w:p w:rsidR="001B5FA5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20"/>
          <w:szCs w:val="20"/>
          <w:shd w:val="clear" w:color="auto" w:fill="FFFFFF" w:themeFill="background1"/>
        </w:rPr>
      </w:pPr>
    </w:p>
    <w:p w:rsidR="001B5FA5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20"/>
          <w:szCs w:val="20"/>
          <w:shd w:val="clear" w:color="auto" w:fill="FFFFFF" w:themeFill="background1"/>
        </w:rPr>
      </w:pPr>
    </w:p>
    <w:p w:rsidR="001B5FA5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20"/>
          <w:szCs w:val="20"/>
          <w:shd w:val="clear" w:color="auto" w:fill="FFFFFF" w:themeFill="background1"/>
        </w:rPr>
      </w:pPr>
    </w:p>
    <w:p w:rsidR="001B5FA5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40"/>
          <w:szCs w:val="40"/>
          <w:shd w:val="clear" w:color="auto" w:fill="FFFFFF" w:themeFill="background1"/>
        </w:rPr>
      </w:pPr>
      <w:r w:rsidRPr="001B5FA5">
        <w:rPr>
          <w:rStyle w:val="fontsmall"/>
          <w:rFonts w:asciiTheme="minorHAnsi" w:hAnsiTheme="minorHAnsi" w:cs="Arial"/>
          <w:color w:val="000000"/>
          <w:sz w:val="40"/>
          <w:szCs w:val="40"/>
          <w:shd w:val="clear" w:color="auto" w:fill="FFFFFF" w:themeFill="background1"/>
        </w:rPr>
        <w:t>Provozně-organizační řád Centra inovací ve vzdělávání při Centru celoživotního vzdělávání Pedagogické fakulty Univerzity Palackého v</w:t>
      </w:r>
      <w:r>
        <w:rPr>
          <w:rStyle w:val="fontsmall"/>
          <w:rFonts w:asciiTheme="minorHAnsi" w:hAnsiTheme="minorHAnsi" w:cs="Arial"/>
          <w:color w:val="000000"/>
          <w:sz w:val="40"/>
          <w:szCs w:val="40"/>
          <w:shd w:val="clear" w:color="auto" w:fill="FFFFFF" w:themeFill="background1"/>
        </w:rPr>
        <w:t> </w:t>
      </w:r>
      <w:r w:rsidRPr="001B5FA5">
        <w:rPr>
          <w:rStyle w:val="fontsmall"/>
          <w:rFonts w:asciiTheme="minorHAnsi" w:hAnsiTheme="minorHAnsi" w:cs="Arial"/>
          <w:color w:val="000000"/>
          <w:sz w:val="40"/>
          <w:szCs w:val="40"/>
          <w:shd w:val="clear" w:color="auto" w:fill="FFFFFF" w:themeFill="background1"/>
        </w:rPr>
        <w:t>Olomouci</w:t>
      </w:r>
    </w:p>
    <w:p w:rsidR="001B5FA5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40"/>
          <w:szCs w:val="40"/>
          <w:shd w:val="clear" w:color="auto" w:fill="FFFFFF" w:themeFill="background1"/>
        </w:rPr>
      </w:pPr>
    </w:p>
    <w:p w:rsidR="001B5FA5" w:rsidRPr="001B5FA5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40"/>
          <w:szCs w:val="40"/>
          <w:shd w:val="clear" w:color="auto" w:fill="FFFFFF" w:themeFill="background1"/>
        </w:rPr>
      </w:pP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ind w:left="1080"/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1B5FA5" w:rsidP="003F5E2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Zpracoval: doc. PhDr. Hana Marešová, Ph.D., </w:t>
      </w:r>
    </w:p>
    <w:p w:rsidR="001B5FA5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                   </w:t>
      </w:r>
      <w:r w:rsidR="001B5FA5"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Ing. Veronika </w:t>
      </w:r>
      <w:proofErr w:type="spellStart"/>
      <w:r w:rsidR="001B5FA5"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Machowská</w:t>
      </w:r>
      <w:proofErr w:type="spellEnd"/>
      <w:r w:rsidR="001B5FA5"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, MBA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</w:pPr>
    </w:p>
    <w:p w:rsidR="001B5FA5" w:rsidRPr="00ED724E" w:rsidRDefault="003F5E2C" w:rsidP="001B5FA5">
      <w:pPr>
        <w:pStyle w:val="Normln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 xml:space="preserve">Všeobecné informace 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</w:pP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1B5FA5" w:rsidRPr="00ED724E" w:rsidRDefault="001B5FA5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Centrum inovací ve vzdělávání (CIV) je účelovým zařízením Centra celoživotního vzdělávání Pedagogické fakulty Univerzity Palackého v Olomouci. </w:t>
      </w:r>
      <w:r w:rsidR="003F5E2C"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Centrum je umístěno na adrese Žižkovo nám. 5, 771 40, Olomouc. Provozní doba </w:t>
      </w:r>
      <w:proofErr w:type="gramStart"/>
      <w:r w:rsidR="003F5E2C"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>CIV</w:t>
      </w:r>
      <w:proofErr w:type="gramEnd"/>
      <w:r w:rsidR="003F5E2C"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gramStart"/>
      <w:r w:rsidR="003F5E2C"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>řídí</w:t>
      </w:r>
      <w:proofErr w:type="gramEnd"/>
      <w:r w:rsidR="003F5E2C"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 provozem budovy Pedagogické fakulty na Žižkově nám. 5 v Olomouci. </w:t>
      </w: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Kontaktní informace: </w:t>
      </w: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>Odpovědná osoba: doc. PhDr. Hana Marešová, Ph.D. – vedoucí centra</w:t>
      </w: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                                   e-mail: </w:t>
      </w:r>
      <w:hyperlink r:id="rId9" w:history="1">
        <w:r w:rsidRPr="00ED724E">
          <w:rPr>
            <w:rStyle w:val="Hypertextovodkaz"/>
            <w:rFonts w:asciiTheme="minorHAnsi" w:hAnsiTheme="minorHAnsi" w:cs="Arial"/>
            <w:bCs/>
            <w:sz w:val="22"/>
            <w:szCs w:val="22"/>
            <w:shd w:val="clear" w:color="auto" w:fill="FFFFFF" w:themeFill="background1"/>
          </w:rPr>
          <w:t>hana.maresova@upol.cz</w:t>
        </w:r>
      </w:hyperlink>
    </w:p>
    <w:p w:rsidR="003F5E2C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                                   </w:t>
      </w:r>
      <w:hyperlink r:id="rId10" w:history="1">
        <w:r w:rsidRPr="00ED724E">
          <w:rPr>
            <w:rStyle w:val="Hypertextovodkaz"/>
            <w:rFonts w:asciiTheme="minorHAnsi" w:hAnsiTheme="minorHAnsi" w:cs="Arial"/>
            <w:bCs/>
            <w:sz w:val="22"/>
            <w:szCs w:val="22"/>
            <w:shd w:val="clear" w:color="auto" w:fill="FFFFFF" w:themeFill="background1"/>
          </w:rPr>
          <w:t>http://www.centruminovacipdf.upol.cz</w:t>
        </w:r>
      </w:hyperlink>
      <w:r w:rsidRPr="00ED724E"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 </w:t>
      </w:r>
    </w:p>
    <w:p w:rsidR="004D0F8A" w:rsidRPr="00ED724E" w:rsidRDefault="004D0F8A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  <w:r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                                   </w:t>
      </w:r>
      <w:hyperlink r:id="rId11" w:history="1">
        <w:r w:rsidRPr="007A581B">
          <w:rPr>
            <w:rStyle w:val="Hypertextovodkaz"/>
            <w:rFonts w:asciiTheme="minorHAnsi" w:hAnsiTheme="minorHAnsi" w:cs="Arial"/>
            <w:bCs/>
            <w:sz w:val="22"/>
            <w:szCs w:val="22"/>
            <w:shd w:val="clear" w:color="auto" w:fill="FFFFFF" w:themeFill="background1"/>
          </w:rPr>
          <w:t>http://www.ccv.upol.cz/cz/rubriky/centrum-inovaci-ve-vzdelavani/</w:t>
        </w:r>
      </w:hyperlink>
      <w:r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  <w:t xml:space="preserve"> </w:t>
      </w: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3F5E2C">
      <w:pPr>
        <w:pStyle w:val="Normln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Náplň činnosti CIV</w:t>
      </w:r>
    </w:p>
    <w:p w:rsidR="003F5E2C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fontmedium"/>
          <w:rFonts w:asciiTheme="minorHAnsi" w:hAnsiTheme="minorHAnsi" w:cs="Arial"/>
          <w:bCs/>
          <w:color w:val="000000"/>
          <w:sz w:val="22"/>
          <w:szCs w:val="22"/>
          <w:shd w:val="clear" w:color="auto" w:fill="FFFFFF" w:themeFill="background1"/>
        </w:rPr>
      </w:pPr>
    </w:p>
    <w:p w:rsidR="003F5E2C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t>Centrum inovací ve vzdělávání (CIV)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t>vzniklo na Pedagogické fakultě Univerzity Palackého v Olomouci (</w:t>
      </w:r>
      <w:proofErr w:type="spellStart"/>
      <w:r w:rsidRPr="00ED724E">
        <w:rPr>
          <w:rFonts w:asciiTheme="minorHAnsi" w:hAnsiTheme="minorHAnsi" w:cs="Arial"/>
          <w:color w:val="000000"/>
          <w:sz w:val="22"/>
          <w:szCs w:val="22"/>
        </w:rPr>
        <w:t>PdF</w:t>
      </w:r>
      <w:proofErr w:type="spellEnd"/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 UP) v roce 2013 rozšířením působnosti dosavadního 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Odboru ICT vzdělávání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Centra celoživotního vzdělávání </w:t>
      </w:r>
      <w:proofErr w:type="spellStart"/>
      <w:r w:rsidRPr="00ED724E">
        <w:rPr>
          <w:rFonts w:asciiTheme="minorHAnsi" w:hAnsiTheme="minorHAnsi" w:cs="Arial"/>
          <w:color w:val="000000"/>
          <w:sz w:val="22"/>
          <w:szCs w:val="22"/>
        </w:rPr>
        <w:t>PdF</w:t>
      </w:r>
      <w:proofErr w:type="spellEnd"/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 UP (Původní stránky Odboru</w:t>
      </w:r>
      <w:r w:rsidR="004D0F8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hyperlink r:id="rId12" w:tgtFrame="_new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http://odborict.upol.cz</w:t>
        </w:r>
      </w:hyperlink>
      <w:r w:rsidRPr="00ED724E">
        <w:rPr>
          <w:rFonts w:asciiTheme="minorHAnsi" w:hAnsiTheme="minorHAnsi" w:cs="Arial"/>
          <w:color w:val="000000"/>
          <w:sz w:val="22"/>
          <w:szCs w:val="22"/>
        </w:rPr>
        <w:t>), které realizuje vzdělávací kurzy pro učitele zaměřené na implementaci informačních a komunikačních technologií (ICT) do výuky. Na jeho činnosti se podílí Katedra českého jazyka a literatury, Katedra matematiky, Katedra technické a informační výchovy a Centrum celoživotního vzdělávání Pedagogické fakulty UP.</w:t>
      </w:r>
    </w:p>
    <w:p w:rsidR="003F5E2C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3F5E2C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t>Vzdělávání, poradenství, výzkum, transfer technologií</w:t>
      </w:r>
    </w:p>
    <w:p w:rsidR="003F5E2C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CIV </w:t>
      </w:r>
      <w:proofErr w:type="gramStart"/>
      <w:r w:rsidRPr="00ED724E">
        <w:rPr>
          <w:rFonts w:asciiTheme="minorHAnsi" w:hAnsiTheme="minorHAnsi" w:cs="Arial"/>
          <w:color w:val="000000"/>
          <w:sz w:val="22"/>
          <w:szCs w:val="22"/>
        </w:rPr>
        <w:t>je</w:t>
      </w:r>
      <w:proofErr w:type="gramEnd"/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 účelovým zařízením CCV, které provádí koordinační činnost v oblasti metodické, vzdělávací a výzkumné a také koordinace přenosu výsledků výzkumu do praxe, koordinace publikace výsledků a ochrany duševního vlastnictví vzniklého výzkumnou a vývojovou činností v oblasti inovativních metod v celoživotním vzdělávání. Poskytuje poradenskou činnost v rámci posuzování grantových záměrů a jejich hodnocení, sledování nových trendů v oblasti edukace, integruje projekty zaměřené na výzkum a vývoj inovativních metod ve vzdělávání na všech stupních škol a v rámci celoživotního učení a jejich následnou implementaci do vzdělávacího systému.</w:t>
      </w:r>
    </w:p>
    <w:p w:rsidR="003F5E2C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3F5E2C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Centrum také vyhledává potenciálně komerčně využitelné výzkumné a vývojové výstupy, spolupracuje s řešiteli výzkumných a vývojových projektů, navazuje kontakty s komerčními subjekty a provádí analýzy potřeb aplikační sféry a jejich zohlednění v činnosti výzkumníků. Podporuje rozvoj mezioborové partnerské spolupráce </w:t>
      </w:r>
      <w:proofErr w:type="spellStart"/>
      <w:r w:rsidRPr="00ED724E">
        <w:rPr>
          <w:rFonts w:asciiTheme="minorHAnsi" w:hAnsiTheme="minorHAnsi" w:cs="Arial"/>
          <w:color w:val="000000"/>
          <w:sz w:val="22"/>
          <w:szCs w:val="22"/>
        </w:rPr>
        <w:t>PdF</w:t>
      </w:r>
      <w:proofErr w:type="spellEnd"/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 UP v oblasti inovací ve vzdělávání s institucemi v Olomouckém kraji (OK), zejména pak v rámci spolupráce se sdružením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OK4Inovace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t>a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OK4EU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při zajišťování realizace strategických dokumentů OK – Regionální inovační strategie OK (RIS) a Dlouhodobého záměru vzdělávání a rozvoje vzdělávací soustavy OK, a dále s Odborem školství Statutárního města Olomouc. </w:t>
      </w:r>
    </w:p>
    <w:p w:rsidR="003F5E2C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ED724E">
        <w:rPr>
          <w:rFonts w:asciiTheme="minorHAnsi" w:hAnsiTheme="minorHAnsi" w:cs="Arial"/>
          <w:color w:val="000000"/>
          <w:sz w:val="22"/>
          <w:szCs w:val="22"/>
        </w:rPr>
        <w:t>CIV poskytuje</w:t>
      </w:r>
      <w:proofErr w:type="gramEnd"/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 také vzdělávací činnost pro širokou veřejnost v rámci celoživotního vzdělávání, metodickou a poradenskou činnost v oblasti inovativních metod ve vzdělávání (zejm. v rámci činnosti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13" w:tgtFrame="_new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Pracovní skupiny pro vzdělávání OK4Inovace</w:t>
        </w:r>
      </w:hyperlink>
      <w:r w:rsidRPr="00ED724E">
        <w:rPr>
          <w:rFonts w:asciiTheme="minorHAnsi" w:hAnsiTheme="minorHAnsi" w:cs="Arial"/>
          <w:color w:val="000000"/>
          <w:sz w:val="22"/>
          <w:szCs w:val="22"/>
        </w:rPr>
        <w:t>).</w:t>
      </w:r>
    </w:p>
    <w:p w:rsidR="00616B54" w:rsidRDefault="00616B54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16B54" w:rsidRDefault="00616B54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Vzdělávací činnost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CIV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se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řídí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platnými vnitřními normami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PdF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UP: </w:t>
      </w:r>
    </w:p>
    <w:p w:rsidR="00616B54" w:rsidRDefault="00616B54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16B54" w:rsidRPr="00616B54" w:rsidRDefault="00616B54" w:rsidP="00616B5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 w:rsidRPr="00616B54">
        <w:rPr>
          <w:rFonts w:eastAsia="Times New Roman" w:cs="Arial"/>
          <w:b/>
          <w:bCs/>
          <w:color w:val="000000" w:themeColor="text1"/>
          <w:sz w:val="20"/>
          <w:szCs w:val="20"/>
          <w:lang w:eastAsia="cs-CZ"/>
        </w:rPr>
        <w:t>Zákony</w:t>
      </w:r>
    </w:p>
    <w:p w:rsidR="00616B54" w:rsidRPr="00616B54" w:rsidRDefault="0030337E" w:rsidP="00616B5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hyperlink r:id="rId14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Zákon o vysokých školách (č. 111/1998 Sb.)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 - § 60 Celoživotní vzdělávání</w:t>
      </w:r>
    </w:p>
    <w:p w:rsidR="00616B54" w:rsidRPr="00616B54" w:rsidRDefault="0030337E" w:rsidP="00616B5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hyperlink r:id="rId15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Zákon č. 563/2004 Sb., 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o pedagogických pracovnících a o změně některých zákonů, ve znění pozdějších předpisů (</w:t>
      </w:r>
      <w:r w:rsidR="00616B54" w:rsidRPr="00616B54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úplné upravené znění ze dne 1. září 2012</w:t>
      </w:r>
      <w:r w:rsidR="00616B54"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)</w:t>
      </w:r>
    </w:p>
    <w:p w:rsidR="00616B54" w:rsidRPr="00616B54" w:rsidRDefault="0030337E" w:rsidP="00616B5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hyperlink r:id="rId16" w:tgtFrame="_blank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Zákon č. 198/2012 Sb.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, kterým se mění zákon č. 563/2004 Sb., o pedagogických pracovnících a o změně některých zákonů, ve znění pozdějších předpisů </w:t>
      </w:r>
      <w:r w:rsidR="00616B54" w:rsidRPr="00616B54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(v účinnosti od 1. 9. 2012)</w:t>
      </w:r>
    </w:p>
    <w:p w:rsidR="00616B54" w:rsidRPr="00616B54" w:rsidRDefault="00616B54" w:rsidP="00616B5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 w:rsidRPr="00616B54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Novela č. 197/2014 Sb. - </w:t>
      </w:r>
      <w:hyperlink r:id="rId17" w:history="1">
        <w:r w:rsidRPr="00616B54">
          <w:rPr>
            <w:rFonts w:eastAsia="Times New Roman" w:cs="Arial"/>
            <w:bCs/>
            <w:color w:val="000000" w:themeColor="text1"/>
            <w:sz w:val="20"/>
            <w:szCs w:val="20"/>
            <w:u w:val="single"/>
            <w:lang w:eastAsia="cs-CZ"/>
          </w:rPr>
          <w:t>znění novely zákona o pedagogických pracovnících</w:t>
        </w:r>
      </w:hyperlink>
      <w:r w:rsidRPr="00616B54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 - části první zákona č. 563/2004 Sb</w:t>
      </w:r>
      <w:r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., o pedagogických pracovnících a o změně některých zákonů, s vyznačením </w:t>
      </w:r>
      <w:proofErr w:type="spellStart"/>
      <w:r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navrhnovaných</w:t>
      </w:r>
      <w:proofErr w:type="spellEnd"/>
      <w:r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změn a doplnění. </w:t>
      </w:r>
      <w:hyperlink r:id="rId18" w:history="1">
        <w:r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M</w:t>
        </w:r>
      </w:hyperlink>
      <w:hyperlink r:id="rId19" w:history="1">
        <w:r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etodický výklad</w:t>
        </w:r>
      </w:hyperlink>
      <w:r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, který pomůže ředitelům škol a školských zařízení aplikovat nová ustanovení zákona v praxi.</w:t>
      </w:r>
    </w:p>
    <w:p w:rsidR="00616B54" w:rsidRPr="00616B54" w:rsidRDefault="00616B54" w:rsidP="00616B54">
      <w:pPr>
        <w:shd w:val="clear" w:color="auto" w:fill="FFFFFF" w:themeFill="background1"/>
        <w:tabs>
          <w:tab w:val="left" w:pos="1500"/>
        </w:tabs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ab/>
      </w:r>
    </w:p>
    <w:p w:rsidR="00616B54" w:rsidRPr="00616B54" w:rsidRDefault="00616B54" w:rsidP="00616B5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 w:rsidRPr="00616B54">
        <w:rPr>
          <w:rFonts w:eastAsia="Times New Roman" w:cs="Arial"/>
          <w:b/>
          <w:bCs/>
          <w:color w:val="000000" w:themeColor="text1"/>
          <w:sz w:val="20"/>
          <w:szCs w:val="20"/>
          <w:lang w:eastAsia="cs-CZ"/>
        </w:rPr>
        <w:t>Vyhlášky</w:t>
      </w:r>
    </w:p>
    <w:p w:rsidR="00616B54" w:rsidRPr="00616B54" w:rsidRDefault="0030337E" w:rsidP="00616B5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hyperlink r:id="rId20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Vyhláška MŠMT ČR č. 317/2005 Sb.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, o DVPP, akreditační komisi a kariérním systému pedagogických pracovníků (zdroj web MŠMT ČR ke dni 27. 1. 2011)</w:t>
      </w:r>
    </w:p>
    <w:p w:rsidR="00616B54" w:rsidRPr="00616B54" w:rsidRDefault="0030337E" w:rsidP="00616B5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hyperlink r:id="rId21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Vyhláška MŠMT ČR č. 412/2006 Sb.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, kterou se mění č. 317/2005 Sb., o dalším vzdělávání pedagogických pracovníků, akreditační komisi a kariérním systému pedagogických pracovníků (zdroj web MŠMT ČR ke dni 27. 1. 2011)</w:t>
      </w:r>
    </w:p>
    <w:p w:rsidR="00616B54" w:rsidRPr="00616B54" w:rsidRDefault="0030337E" w:rsidP="00616B5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hyperlink r:id="rId22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Vyhláška MŠMT ČR č. 329/2013 Sb.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, kterou se mění vyhláška č. 317/2005 Sb., o dalším vzdělávání pedagogických pracovníků, akreditační komisi a kariérním systému pedagogických pracovníků, ve znění vyhlášky č. 412/2006 Sb. (v účinnosti od 1. 11. 2013)</w:t>
      </w:r>
    </w:p>
    <w:p w:rsidR="00616B54" w:rsidRPr="00616B54" w:rsidRDefault="0030337E" w:rsidP="00616B54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hyperlink r:id="rId23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Vyhláška MŠMT ČR č. 272/2014 Sb.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lang w:eastAsia="cs-CZ"/>
        </w:rPr>
        <w:t>, kterou se mění vyhláška č. 317/2005 Sb., o dalším vzdělávání pedagogických pracovníků, akreditační komisi a kariérním systému pedagogických pracovníků, ve znění vyhlášky č. 412/2006 Sb. a č. 329/2013 Sb. </w:t>
      </w:r>
      <w:r w:rsidR="00616B54" w:rsidRPr="00616B54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(v účinnosti od 25. 11. 2014)</w:t>
      </w:r>
    </w:p>
    <w:p w:rsidR="00616B54" w:rsidRPr="00616B54" w:rsidRDefault="00616B54" w:rsidP="00616B5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616B54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Interní směrnice</w:t>
      </w:r>
    </w:p>
    <w:p w:rsidR="00616B54" w:rsidRPr="00616B54" w:rsidRDefault="0030337E" w:rsidP="00616B5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</w:pPr>
      <w:hyperlink r:id="rId24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 xml:space="preserve">Postup při výběru poplatků v programu CŽV na </w:t>
        </w:r>
        <w:proofErr w:type="spellStart"/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PdF</w:t>
        </w:r>
        <w:proofErr w:type="spellEnd"/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 xml:space="preserve"> UP v Olomouci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  <w:t> (platnost od 24. 11. 2009)</w:t>
      </w:r>
    </w:p>
    <w:p w:rsidR="00616B54" w:rsidRPr="00616B54" w:rsidRDefault="0030337E" w:rsidP="00616B5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</w:pPr>
      <w:hyperlink r:id="rId25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 xml:space="preserve">Studium v kreditovém systému na </w:t>
        </w:r>
        <w:proofErr w:type="spellStart"/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PdF</w:t>
        </w:r>
        <w:proofErr w:type="spellEnd"/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 xml:space="preserve"> UP v Olomouci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  <w:t> (novela - platnost od 12. 1. 2009)</w:t>
      </w:r>
    </w:p>
    <w:p w:rsidR="00616B54" w:rsidRPr="00616B54" w:rsidRDefault="0030337E" w:rsidP="00616B5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</w:pPr>
      <w:hyperlink r:id="rId26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 xml:space="preserve">Pravidla pro parkování v prostorách </w:t>
        </w:r>
        <w:proofErr w:type="spellStart"/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PdF</w:t>
        </w:r>
        <w:proofErr w:type="spellEnd"/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 xml:space="preserve"> UP v Olomouci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  <w:t> na Žižkově nám. č. 5 (v platnosti od 1. 12. 2009)</w:t>
      </w:r>
    </w:p>
    <w:p w:rsidR="00616B54" w:rsidRPr="00616B54" w:rsidRDefault="0030337E" w:rsidP="00616B5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</w:pPr>
      <w:hyperlink r:id="rId27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Studijní a zkušební řád UP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  <w:t> ze dne 1. 7. 2011</w:t>
      </w:r>
    </w:p>
    <w:p w:rsidR="00616B54" w:rsidRPr="00616B54" w:rsidRDefault="0030337E" w:rsidP="00616B5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25"/>
        <w:jc w:val="both"/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</w:pPr>
      <w:hyperlink r:id="rId28" w:history="1">
        <w:r w:rsidR="00616B54" w:rsidRPr="00616B54">
          <w:rPr>
            <w:rFonts w:eastAsia="Times New Roman" w:cs="Arial"/>
            <w:color w:val="000000" w:themeColor="text1"/>
            <w:sz w:val="20"/>
            <w:szCs w:val="20"/>
            <w:u w:val="single"/>
            <w:lang w:eastAsia="cs-CZ"/>
          </w:rPr>
          <w:t>Řád celoživotního vzdělávání Pedagogické fakulty Univerzity Palackého v Olomouci</w:t>
        </w:r>
      </w:hyperlink>
      <w:r w:rsidR="00616B54" w:rsidRPr="00616B54">
        <w:rPr>
          <w:rFonts w:eastAsia="Times New Roman" w:cs="Arial"/>
          <w:color w:val="000000" w:themeColor="text1"/>
          <w:sz w:val="20"/>
          <w:szCs w:val="20"/>
          <w:u w:val="single"/>
          <w:lang w:eastAsia="cs-CZ"/>
        </w:rPr>
        <w:t> </w:t>
      </w:r>
      <w:r w:rsidR="00616B54" w:rsidRPr="00616B54">
        <w:rPr>
          <w:rFonts w:eastAsia="Times New Roman" w:cs="Arial"/>
          <w:bCs/>
          <w:color w:val="000000" w:themeColor="text1"/>
          <w:sz w:val="20"/>
          <w:szCs w:val="20"/>
          <w:u w:val="single"/>
          <w:lang w:eastAsia="cs-CZ"/>
        </w:rPr>
        <w:t>(platnost od 14. 2. 2012)</w:t>
      </w:r>
    </w:p>
    <w:p w:rsidR="00616B54" w:rsidRPr="00616B54" w:rsidRDefault="00616B54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3F5E2C" w:rsidRPr="00ED724E" w:rsidRDefault="003F5E2C" w:rsidP="003F5E2C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</w:pPr>
    </w:p>
    <w:p w:rsidR="001B5FA5" w:rsidRPr="00ED724E" w:rsidRDefault="001B5FA5" w:rsidP="003F5E2C">
      <w:pPr>
        <w:pStyle w:val="Normln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medium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Politika kvality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Centrum inovací ve vzdělávání (CIV) v rámci činnosti Centra celoživotního vzdělávání rozvíjí zejména tyto strategické cíle systému řízení kvality definované v rámci získané certifikace ČSN ISO 9001:2009 (</w:t>
      </w:r>
      <w:r w:rsidRPr="00ED724E"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TÜV SÜD Group)</w:t>
      </w:r>
      <w:r w:rsidR="00616B54"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:</w:t>
      </w:r>
      <w:r w:rsidRPr="00ED724E"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1.  Trvalým zlepšováním kvality našich služeb obhajovat parametry našich služeb a vyvíjet nové.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2. Být i nadále moderním otevřeným pracovištěm reflektujícím na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aktuální potřeby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současné společnosti v oblasti vzdělávání všech věkových skupin, které mají zájem se vzdělávat, rozšířit a zlepšit své pracovní kompetence.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3. Být prestižním pracovištěm s vysoce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kvalifikovanými přednášejícími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(odborníci, vysokoškolští profesoři i docenti). Využívat motivačních nástrojů a stimulů ke zvyšování profesionality a odbornosti pracovníků CCV </w:t>
      </w:r>
      <w:proofErr w:type="spellStart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PdF</w:t>
      </w:r>
      <w:proofErr w:type="spellEnd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UP v Olomouci.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4.  Dbát na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konstruktivní komunikaci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uvnitř školy a nadále ji rozvíjet. Docílit otevřeného prostředí pro výměnu názorů a dosáhnout synergického efektu spolupráce.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5.  Být pracovištěm pracujícím na principech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strategických dokumentů České republiky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, zejména pak v těchto oblastech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Zdrazn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Strategie celoživotního učení ČR na léta 2007-2013</w:t>
      </w:r>
      <w:r w:rsidRPr="00ED724E">
        <w:rPr>
          <w:rStyle w:val="apple-converted-space"/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 w:themeFill="background1"/>
        </w:rPr>
        <w:t xml:space="preserve">: 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a) 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Uznávání, prostupnost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(uznávání neformálního vzdělávání a informálního učení, vzájemné uznávání certifikátů a diplomů).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b) 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Rovný přístup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(odstraňování bariér pro osoby se specifickými vzdělávacími potřebami formou odstranění fyzických překážek pro pohyb osob (bezbariérové pracoviště), podporou inovativních vzdělávacích metod s využitím ICT atd., inovace vzdělávacích metod pro znevýhodněné skupiny obyvatel (např. azylanty, matky na mateřské dovolené apod.).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c)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Funkční gramotnost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(zaměření se na podporu těch klíčových kompetencí pedagogických pracovníků, k jejichž osvojení dříve vzdělávací systém nevedl – zejm. podpora rozvoje klíčových kompetencí v oblasti informačních a komunikačních technologií, cizích jazyků, v oblasti komunikačních kompetencí).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d)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Sociální partnerství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(další rozvoj partnerství a spolupráce s nevládními a neziskovými organizacemi, spolupráce s fakultními školami v oblasti praxe studentů a učitelů, spolupráce s veřejným sektorem, úřady práce apod.).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e)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Stimulace poptávky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(zjednodušení přístupu k dalšímu vzdělávání u sociálně slabých či znevýhodněných osob – formou e-</w:t>
      </w:r>
      <w:proofErr w:type="spellStart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learningu</w:t>
      </w:r>
      <w:proofErr w:type="spellEnd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, virtuálního vzdělávání apod.).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f)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Kvalita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(evaluace činnosti formou sebehodnocení a externího hodnocení ze strany účastníků celoživotního vzdělávání),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založení výzkumu a vývoje v oblasti metodologie a technologie celoživotního vzdělávání.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g)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Poradenství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(šíření inovací prostřednictvím metodické podpory vzdělavatelům, tvorbou výukových programů, studijních materiálů a pomůcek).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6. Být pracovištěm zapojeným do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mezinárodní sítě poskytovatelů celoživotního vzdělávání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v souladu se strategickými dokumenty České republiky a Evropské unie, zejména pak s cíli ET 2020 (</w:t>
      </w:r>
      <w:proofErr w:type="spellStart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Education</w:t>
      </w:r>
      <w:proofErr w:type="spellEnd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and </w:t>
      </w:r>
      <w:proofErr w:type="spellStart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Training</w:t>
      </w:r>
      <w:proofErr w:type="spellEnd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2020), a to zejména zapojením do sítě poskytovatelů celoživotního vzdělávání v rámci 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lastRenderedPageBreak/>
        <w:t xml:space="preserve">zemí EU (projekt REALM, Brusel, 2012), zapojením do komunitárních programů LLP (např. </w:t>
      </w:r>
      <w:proofErr w:type="spellStart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Grudtvig</w:t>
      </w:r>
      <w:proofErr w:type="spellEnd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) a prezentací výsledků činností prostřednictvím příkladů dobré praxe v rámci EU (Brusel).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7. Vytvářet a udržovat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systém prezentace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CCV </w:t>
      </w:r>
      <w:proofErr w:type="spellStart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PdF</w:t>
      </w:r>
      <w:proofErr w:type="spellEnd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UP v Olomouci na veřejnosti a posilovat pozitivní vnímání veřejností.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Zvýraznit prestiž CCV </w:t>
      </w:r>
      <w:proofErr w:type="spellStart"/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PdF</w:t>
      </w:r>
      <w:proofErr w:type="spellEnd"/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UP v Olomouc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i v rámci poskytování jedné z forem vzdělávání – celoživotního vzdělávání, včetně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prezentací úspěšných výsledků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v oblasti pedagogické, projektové, dotační a společenské.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8. Vytvářet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optimální strukturu vzdělávací nabídky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tak, aby účastníci celoživotního vzdělávání byli připraveni na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výkon dané pozice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, pro jejíž další vzdělávání se v rámci programů celoživotního vzdělávání rozhodli.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9. Uplatňovat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nové, cenné poznatky a inovační přístupy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ke vzdělávání ve výuce programů celoživotního vzdělávání.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10. Sledovat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změny v legislativních požadavcích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na odborné kompetence absolventů programů celoživotního vzdělávání a průběžně je implementovat do nabídky vzdělávání.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11. Zvyšovat motivaci účastníků programů celoživotního vzdělávání k dalšímu vzdělávání (např. motivačními akcemi v podobě částečné úhrady nákladů apod.).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12. Reagovat na podněty a připomínky účastníků s cílem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včas řešit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případné problémy.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13. Vytvářet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příznivé sociální klima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při komunikaci a jednání se stávajícími účastníky, ale i potenciálními účastníky.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14. Udržet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vysokou úroveň materiálně technického vybavení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prostor a učeben, v rámci kterých probíhá výuka programů celoživotního vzdělávání.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15. Udržet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vyrovnané hospodaření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CCV </w:t>
      </w:r>
      <w:proofErr w:type="spellStart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PdF</w:t>
      </w:r>
      <w:proofErr w:type="spellEnd"/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 xml:space="preserve"> UP v Olomouci a získávat další zdroje financování prostřednictvím projektů.</w:t>
      </w:r>
    </w:p>
    <w:p w:rsidR="001B5FA5" w:rsidRPr="00ED724E" w:rsidRDefault="001B5FA5" w:rsidP="001B5FA5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</w:pP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16. Trvale udržovat a zlepšovat efektivnost a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účinnost certifikovaného systému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 </w:t>
      </w:r>
      <w:r w:rsidRPr="00ED724E">
        <w:rPr>
          <w:rStyle w:val="fontsmall"/>
          <w:rFonts w:asciiTheme="minorHAnsi" w:hAnsiTheme="minorHAnsi" w:cs="Arial"/>
          <w:color w:val="000000"/>
          <w:sz w:val="22"/>
          <w:szCs w:val="22"/>
          <w:shd w:val="clear" w:color="auto" w:fill="FFFFFF" w:themeFill="background1"/>
        </w:rPr>
        <w:t>řízení kvality.</w:t>
      </w:r>
    </w:p>
    <w:p w:rsidR="001B5FA5" w:rsidRPr="00ED724E" w:rsidRDefault="001B5FA5" w:rsidP="001B5FA5">
      <w:pPr>
        <w:shd w:val="clear" w:color="auto" w:fill="FFFFFF" w:themeFill="background1"/>
        <w:rPr>
          <w:shd w:val="clear" w:color="auto" w:fill="FFFFFF" w:themeFill="background1"/>
        </w:rPr>
      </w:pPr>
    </w:p>
    <w:p w:rsidR="00ED724E" w:rsidRPr="00ED724E" w:rsidRDefault="00ED724E" w:rsidP="001B5FA5">
      <w:pPr>
        <w:shd w:val="clear" w:color="auto" w:fill="FFFFFF" w:themeFill="background1"/>
        <w:rPr>
          <w:shd w:val="clear" w:color="auto" w:fill="FFFFFF" w:themeFill="background1"/>
        </w:rPr>
      </w:pPr>
    </w:p>
    <w:p w:rsidR="00ED724E" w:rsidRPr="00ED724E" w:rsidRDefault="00ED724E" w:rsidP="00ED724E">
      <w:pPr>
        <w:pStyle w:val="Odstavecseseznamem"/>
        <w:numPr>
          <w:ilvl w:val="0"/>
          <w:numId w:val="2"/>
        </w:numPr>
        <w:shd w:val="clear" w:color="auto" w:fill="FFFFFF" w:themeFill="background1"/>
        <w:jc w:val="center"/>
        <w:rPr>
          <w:b/>
          <w:shd w:val="clear" w:color="auto" w:fill="FFFFFF" w:themeFill="background1"/>
        </w:rPr>
      </w:pPr>
      <w:r w:rsidRPr="00ED724E">
        <w:rPr>
          <w:b/>
          <w:shd w:val="clear" w:color="auto" w:fill="FFFFFF" w:themeFill="background1"/>
        </w:rPr>
        <w:t>Provozní údaje</w:t>
      </w:r>
    </w:p>
    <w:p w:rsidR="00ED724E" w:rsidRPr="00ED724E" w:rsidRDefault="00ED724E" w:rsidP="00616B54">
      <w:pPr>
        <w:shd w:val="clear" w:color="auto" w:fill="FFFFFF" w:themeFill="background1"/>
        <w:jc w:val="both"/>
        <w:rPr>
          <w:shd w:val="clear" w:color="auto" w:fill="FFFFFF" w:themeFill="background1"/>
        </w:rPr>
      </w:pPr>
      <w:r w:rsidRPr="00ED724E">
        <w:rPr>
          <w:shd w:val="clear" w:color="auto" w:fill="FFFFFF" w:themeFill="background1"/>
        </w:rPr>
        <w:t>Prostory a jejich odpovědní pracovníci</w:t>
      </w:r>
      <w:r w:rsidR="00616B54">
        <w:rPr>
          <w:shd w:val="clear" w:color="auto" w:fill="FFFFFF" w:themeFill="background1"/>
        </w:rPr>
        <w:t xml:space="preserve">: </w:t>
      </w:r>
      <w:r w:rsidRPr="00ED724E">
        <w:rPr>
          <w:shd w:val="clear" w:color="auto" w:fill="FFFFFF" w:themeFill="background1"/>
        </w:rPr>
        <w:t xml:space="preserve">veškeré prostory </w:t>
      </w:r>
      <w:proofErr w:type="gramStart"/>
      <w:r w:rsidRPr="00ED724E">
        <w:rPr>
          <w:shd w:val="clear" w:color="auto" w:fill="FFFFFF" w:themeFill="background1"/>
        </w:rPr>
        <w:t>CIV musí</w:t>
      </w:r>
      <w:proofErr w:type="gramEnd"/>
      <w:r w:rsidRPr="00ED724E">
        <w:rPr>
          <w:shd w:val="clear" w:color="auto" w:fill="FFFFFF" w:themeFill="background1"/>
        </w:rPr>
        <w:t xml:space="preserve"> být udržovány v pořádku a čistotě, vždy připravené pro činnost. Veškeré </w:t>
      </w:r>
      <w:r w:rsidR="00616B54">
        <w:rPr>
          <w:shd w:val="clear" w:color="auto" w:fill="FFFFFF" w:themeFill="background1"/>
        </w:rPr>
        <w:t xml:space="preserve">škody, závady či úrazy </w:t>
      </w:r>
      <w:r w:rsidRPr="00ED724E">
        <w:rPr>
          <w:shd w:val="clear" w:color="auto" w:fill="FFFFFF" w:themeFill="background1"/>
        </w:rPr>
        <w:t xml:space="preserve">se neprodleně </w:t>
      </w:r>
      <w:proofErr w:type="gramStart"/>
      <w:r w:rsidRPr="00ED724E">
        <w:rPr>
          <w:shd w:val="clear" w:color="auto" w:fill="FFFFFF" w:themeFill="background1"/>
        </w:rPr>
        <w:t>ohlašuj</w:t>
      </w:r>
      <w:r w:rsidR="00616B54">
        <w:rPr>
          <w:shd w:val="clear" w:color="auto" w:fill="FFFFFF" w:themeFill="background1"/>
        </w:rPr>
        <w:t>í</w:t>
      </w:r>
      <w:proofErr w:type="gramEnd"/>
      <w:r w:rsidRPr="00ED724E">
        <w:rPr>
          <w:shd w:val="clear" w:color="auto" w:fill="FFFFFF" w:themeFill="background1"/>
        </w:rPr>
        <w:t xml:space="preserve"> vedoucímu </w:t>
      </w:r>
      <w:proofErr w:type="gramStart"/>
      <w:r w:rsidRPr="00ED724E">
        <w:rPr>
          <w:shd w:val="clear" w:color="auto" w:fill="FFFFFF" w:themeFill="background1"/>
        </w:rPr>
        <w:t>CIV</w:t>
      </w:r>
      <w:proofErr w:type="gramEnd"/>
      <w:r w:rsidRPr="00ED724E">
        <w:rPr>
          <w:shd w:val="clear" w:color="auto" w:fill="FFFFFF" w:themeFill="background1"/>
        </w:rPr>
        <w:t xml:space="preserve">. </w:t>
      </w:r>
    </w:p>
    <w:p w:rsidR="00ED724E" w:rsidRPr="00ED724E" w:rsidRDefault="00ED724E" w:rsidP="00616B54">
      <w:pPr>
        <w:shd w:val="clear" w:color="auto" w:fill="FFFFFF" w:themeFill="background1"/>
        <w:jc w:val="both"/>
        <w:rPr>
          <w:shd w:val="clear" w:color="auto" w:fill="FFFFFF" w:themeFill="background1"/>
        </w:rPr>
      </w:pPr>
      <w:r w:rsidRPr="00ED724E">
        <w:rPr>
          <w:shd w:val="clear" w:color="auto" w:fill="FFFFFF" w:themeFill="background1"/>
        </w:rPr>
        <w:t xml:space="preserve">Zodpovědné a pověřené osoby výkonem určité organizačně-správní činnosti v rámci </w:t>
      </w:r>
      <w:proofErr w:type="gramStart"/>
      <w:r w:rsidRPr="00ED724E">
        <w:rPr>
          <w:shd w:val="clear" w:color="auto" w:fill="FFFFFF" w:themeFill="background1"/>
        </w:rPr>
        <w:t>CIV musí</w:t>
      </w:r>
      <w:proofErr w:type="gramEnd"/>
      <w:r w:rsidRPr="00ED724E">
        <w:rPr>
          <w:shd w:val="clear" w:color="auto" w:fill="FFFFFF" w:themeFill="background1"/>
        </w:rPr>
        <w:t xml:space="preserve"> být proškoleny z bezpečnosti práce a ochrany zdraví při práci a z požární ochrany – zajišťuje vedoucí CIV. </w:t>
      </w:r>
    </w:p>
    <w:p w:rsidR="00ED724E" w:rsidRPr="00ED724E" w:rsidRDefault="00ED724E" w:rsidP="00616B54">
      <w:pPr>
        <w:shd w:val="clear" w:color="auto" w:fill="FFFFFF" w:themeFill="background1"/>
        <w:jc w:val="both"/>
        <w:rPr>
          <w:shd w:val="clear" w:color="auto" w:fill="FFFFFF" w:themeFill="background1"/>
        </w:rPr>
      </w:pPr>
      <w:r w:rsidRPr="00ED724E">
        <w:rPr>
          <w:shd w:val="clear" w:color="auto" w:fill="FFFFFF" w:themeFill="background1"/>
        </w:rPr>
        <w:t xml:space="preserve">V rámci činnosti </w:t>
      </w:r>
      <w:proofErr w:type="gramStart"/>
      <w:r w:rsidRPr="00ED724E">
        <w:rPr>
          <w:shd w:val="clear" w:color="auto" w:fill="FFFFFF" w:themeFill="background1"/>
        </w:rPr>
        <w:t>CIV není</w:t>
      </w:r>
      <w:proofErr w:type="gramEnd"/>
      <w:r w:rsidRPr="00ED724E">
        <w:rPr>
          <w:shd w:val="clear" w:color="auto" w:fill="FFFFFF" w:themeFill="background1"/>
        </w:rPr>
        <w:t xml:space="preserve"> dovoleno využívání počítačových stanic </w:t>
      </w:r>
      <w:r w:rsidR="00616B54">
        <w:rPr>
          <w:shd w:val="clear" w:color="auto" w:fill="FFFFFF" w:themeFill="background1"/>
        </w:rPr>
        <w:t xml:space="preserve">ke </w:t>
      </w:r>
      <w:r w:rsidRPr="00ED724E">
        <w:rPr>
          <w:shd w:val="clear" w:color="auto" w:fill="FFFFFF" w:themeFill="background1"/>
        </w:rPr>
        <w:t>stahování nežádoucího obsahu z </w:t>
      </w:r>
      <w:r w:rsidR="00616B54">
        <w:rPr>
          <w:shd w:val="clear" w:color="auto" w:fill="FFFFFF" w:themeFill="background1"/>
        </w:rPr>
        <w:t>i</w:t>
      </w:r>
      <w:r w:rsidRPr="00ED724E">
        <w:rPr>
          <w:shd w:val="clear" w:color="auto" w:fill="FFFFFF" w:themeFill="background1"/>
        </w:rPr>
        <w:t xml:space="preserve">nternetu, hraní počítačových her či prohlížení nevhodných stránek. </w:t>
      </w:r>
    </w:p>
    <w:p w:rsidR="00616B54" w:rsidRDefault="00ED724E" w:rsidP="00616B54">
      <w:pPr>
        <w:shd w:val="clear" w:color="auto" w:fill="FFFFFF" w:themeFill="background1"/>
        <w:jc w:val="both"/>
      </w:pPr>
      <w:r w:rsidRPr="00ED724E">
        <w:t xml:space="preserve">Porušení některé z uvedených povinností je řešeno dle zákoníku práce </w:t>
      </w:r>
      <w:r w:rsidR="00616B54">
        <w:t xml:space="preserve">(zák. č. 262/2006 Sb. Ze dne 21. 4. 2006, novelizace 2015). </w:t>
      </w:r>
    </w:p>
    <w:p w:rsidR="00616B54" w:rsidRDefault="00616B54" w:rsidP="001B5FA5">
      <w:pPr>
        <w:shd w:val="clear" w:color="auto" w:fill="FFFFFF" w:themeFill="background1"/>
      </w:pPr>
    </w:p>
    <w:p w:rsidR="00ED724E" w:rsidRPr="00ED724E" w:rsidRDefault="00ED724E" w:rsidP="00ED724E">
      <w:pPr>
        <w:pStyle w:val="Odstavecseseznamem"/>
        <w:numPr>
          <w:ilvl w:val="0"/>
          <w:numId w:val="2"/>
        </w:numPr>
        <w:shd w:val="clear" w:color="auto" w:fill="FFFFFF" w:themeFill="background1"/>
        <w:jc w:val="center"/>
        <w:rPr>
          <w:b/>
          <w:shd w:val="clear" w:color="auto" w:fill="FFFFFF" w:themeFill="background1"/>
        </w:rPr>
      </w:pPr>
      <w:r w:rsidRPr="00ED724E">
        <w:rPr>
          <w:b/>
          <w:shd w:val="clear" w:color="auto" w:fill="FFFFFF" w:themeFill="background1"/>
        </w:rPr>
        <w:t>Organizační struktura</w:t>
      </w:r>
    </w:p>
    <w:p w:rsidR="004D0F8A" w:rsidRDefault="00ED724E" w:rsidP="004D0F8A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</w:pPr>
      <w:r w:rsidRPr="00ED724E">
        <w:rPr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="004D0F8A" w:rsidRP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Vnit</w:t>
      </w:r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řní organizace: vedoucí CIV je řízen vedoucím</w:t>
      </w:r>
      <w:r w:rsidR="004D0F8A" w:rsidRP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Centra celoživotního vzdělávání </w:t>
      </w:r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a metodicky řízen proděkanem pro organizaci, rozvoj a celoživotní vzdělávání </w:t>
      </w:r>
      <w:proofErr w:type="spellStart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PdF</w:t>
      </w:r>
      <w:proofErr w:type="spellEnd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UP. Vedoucí </w:t>
      </w:r>
      <w:proofErr w:type="gramStart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CIV spolupracuje</w:t>
      </w:r>
      <w:proofErr w:type="gramEnd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s vedoucím CCV na realizaci cílů definovaných v politice kvality CCV. Vedoucí </w:t>
      </w:r>
      <w:proofErr w:type="gramStart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CIV</w:t>
      </w:r>
      <w:proofErr w:type="gramEnd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zajišťuje činnost </w:t>
      </w:r>
      <w:proofErr w:type="gramStart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CIV</w:t>
      </w:r>
      <w:proofErr w:type="gramEnd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a zodpovídá za ni vedoucímu CCV a děkanovi </w:t>
      </w:r>
      <w:proofErr w:type="spellStart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PdF</w:t>
      </w:r>
      <w:proofErr w:type="spellEnd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, resp. proděkanovi pro organizaci, rozvoj a celoživotní vzdělávání. Vedoucí </w:t>
      </w:r>
      <w:r w:rsidR="00616B54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CIV přímo </w:t>
      </w:r>
      <w:proofErr w:type="gramStart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řídí</w:t>
      </w:r>
      <w:proofErr w:type="gramEnd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činnost pracovníků </w:t>
      </w:r>
      <w:proofErr w:type="gramStart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CIV</w:t>
      </w:r>
      <w:proofErr w:type="gramEnd"/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a odpovídá za dodržování pracovně-právních a bezpečnostních předpisů v CIV. V rámci své působnosti přijímá opatření k plnění úkolů z nich plynoucích.</w:t>
      </w:r>
      <w:r w:rsidR="00616B54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Předkládá vedoucímu CCV</w:t>
      </w:r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návrhy rozpočtů a odpovídá za jejich dodržení ve stanovené výši, jakož i za hospodárné využívání technických prostředků. Má podpisové oprávnění faktur, dokladů </w:t>
      </w:r>
      <w:r w:rsidR="004D0F8A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lastRenderedPageBreak/>
        <w:t xml:space="preserve">a jiných písemností souvisejících s činností </w:t>
      </w:r>
      <w:r w:rsidR="00616B54"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CIV. Podává vedoucímu CCV návrhy na přijetí, propuštění, platové zařazení, osobní ohodnocení a odměny pracovníků CIV. Pro plnění úkolů CIV je oprávněn uzavírat smlouvy s externími spolupracovníky v rámci schváleného finančního přídělu a odpovídá za jejich hospodárné naplnění. </w:t>
      </w:r>
    </w:p>
    <w:p w:rsidR="00616B54" w:rsidRDefault="00616B54" w:rsidP="004D0F8A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</w:pPr>
    </w:p>
    <w:p w:rsidR="00616B54" w:rsidRDefault="00616B54" w:rsidP="004D0F8A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Pracovníci </w:t>
      </w:r>
      <w:proofErr w:type="gramStart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CIV jsou</w:t>
      </w:r>
      <w:proofErr w:type="gramEnd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zaměstnanci </w:t>
      </w:r>
      <w:proofErr w:type="spellStart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PdF</w:t>
      </w:r>
      <w:proofErr w:type="spellEnd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UP, v případě potřeby externí zaměstnanci. Jejich pracovní a platové poměry upravují příslušná obecná ustanovení na </w:t>
      </w:r>
      <w:proofErr w:type="spellStart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PdF</w:t>
      </w:r>
      <w:proofErr w:type="spellEnd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. Vedoucí </w:t>
      </w:r>
      <w:proofErr w:type="gramStart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CIV</w:t>
      </w:r>
      <w:proofErr w:type="gramEnd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se souhlasem vedoucího CCV </w:t>
      </w:r>
      <w:proofErr w:type="gramStart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sjednává</w:t>
      </w:r>
      <w:proofErr w:type="gramEnd"/>
      <w:r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 xml:space="preserve"> s pracovníky jejich pracovní poměr, určuje jim pracovní a platové zařazení a stanovuje jejich pracovní povinnosti. </w:t>
      </w:r>
    </w:p>
    <w:p w:rsidR="004D0F8A" w:rsidRPr="004D0F8A" w:rsidRDefault="004D0F8A" w:rsidP="004D0F8A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Style w:val="Siln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</w:pPr>
    </w:p>
    <w:p w:rsidR="004D0F8A" w:rsidRDefault="004D0F8A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Vedoucí Centra: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 xml:space="preserve">doc. PhDr. Hana Marešová, Ph.D. 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Katedra českého jazyka a literatury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Pedagogická fakulta UP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Žižkovo nám. 5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771 40 Olomouc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tel.: 585 635 006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e-mail: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29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hana.maresova@upol.cz</w:t>
        </w:r>
      </w:hyperlink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Zástupce vedoucí Centra: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 xml:space="preserve">Mgr. David </w:t>
      </w:r>
      <w:proofErr w:type="spellStart"/>
      <w:r w:rsidRPr="00ED724E">
        <w:rPr>
          <w:rFonts w:asciiTheme="minorHAnsi" w:hAnsiTheme="minorHAnsi" w:cs="Arial"/>
          <w:color w:val="000000"/>
          <w:sz w:val="22"/>
          <w:szCs w:val="22"/>
        </w:rPr>
        <w:t>Nocar</w:t>
      </w:r>
      <w:proofErr w:type="spellEnd"/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, Ph.D. 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Katedra matematiky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Pedagogická fakulta UP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Žižkovo nám. 5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771 40 Olomouc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tel.: 585 635 709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e-mail: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30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david.nocar@upol.cz</w:t>
        </w:r>
      </w:hyperlink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Technický garant: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 xml:space="preserve">doc. PhDr. Milan Klement, Ph.D. 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Katedra technické a informační výchovy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Pedagogická fakulta UP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Žižkovo nám. 5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771 40 Olomouc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tel.: 585 635 811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e-mail: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31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milan.klement@upol.cz</w:t>
        </w:r>
      </w:hyperlink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Management vzdělávání:</w:t>
      </w:r>
      <w:r w:rsidRPr="00ED724E">
        <w:rPr>
          <w:rStyle w:val="apple-converted-space"/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Ing. Veronika Machovská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Centrum celoživotního vzdělávání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Pedagogická fakulta UP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Žižkovo nám. 5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771 40 Olomouc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tel.: 585 635 148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e-mail: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32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veronika.machowska@upol.cz</w:t>
        </w:r>
      </w:hyperlink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Administrativní pracovníci: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Mgr. Barbora Mlčochová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Centrum celoživotního vzdělávání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Pedagogická fakulta UP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Žižkovo nám. 5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</w:r>
      <w:r w:rsidRPr="00ED724E">
        <w:rPr>
          <w:rFonts w:asciiTheme="minorHAnsi" w:hAnsiTheme="minorHAnsi" w:cs="Arial"/>
          <w:color w:val="000000"/>
          <w:sz w:val="22"/>
          <w:szCs w:val="22"/>
        </w:rPr>
        <w:lastRenderedPageBreak/>
        <w:t>771 40 Olomouc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tel.: 585 635 175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e-mail: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33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barbora.mlcochova@upol.cz</w:t>
        </w:r>
      </w:hyperlink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Mgr. Martina Bartoníčková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Pedagogická fakulta UP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Žižkovo nám. 5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771 40 Olomouc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tel.: 585 635 189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e-mail: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34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martina.bartonickova@upol.cz</w:t>
        </w:r>
      </w:hyperlink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 xml:space="preserve"> Bc. Petra </w:t>
      </w:r>
      <w:proofErr w:type="spellStart"/>
      <w:r w:rsidRPr="00ED724E">
        <w:rPr>
          <w:rFonts w:asciiTheme="minorHAnsi" w:hAnsiTheme="minorHAnsi" w:cs="Arial"/>
          <w:color w:val="000000"/>
          <w:sz w:val="22"/>
          <w:szCs w:val="22"/>
        </w:rPr>
        <w:t>Jurníková</w:t>
      </w:r>
      <w:proofErr w:type="spellEnd"/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Pedagogická fakulta UP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Žižkovo nám. 5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771 40 Olomouc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tel: 585 635 189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e-mail: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35" w:tgtFrame="_new" w:history="1">
        <w:r w:rsidRPr="00ED724E">
          <w:rPr>
            <w:rStyle w:val="Hypertextovodkaz"/>
            <w:rFonts w:asciiTheme="minorHAnsi" w:hAnsiTheme="minorHAnsi" w:cs="Arial"/>
            <w:b/>
            <w:bCs/>
            <w:color w:val="626938"/>
            <w:sz w:val="22"/>
            <w:szCs w:val="22"/>
            <w:bdr w:val="none" w:sz="0" w:space="0" w:color="auto" w:frame="1"/>
          </w:rPr>
          <w:t>petra.jurnikova@upol.cz</w:t>
        </w:r>
      </w:hyperlink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Style w:val="Siln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Odborný pracovník: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Mgr. Miroslava Dluhošová</w:t>
      </w:r>
    </w:p>
    <w:p w:rsidR="00ED724E" w:rsidRPr="00ED724E" w:rsidRDefault="00ED724E" w:rsidP="00ED724E">
      <w:pPr>
        <w:pStyle w:val="Normln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ED724E">
        <w:rPr>
          <w:rFonts w:asciiTheme="minorHAnsi" w:hAnsiTheme="minorHAnsi" w:cs="Arial"/>
          <w:color w:val="000000"/>
          <w:sz w:val="22"/>
          <w:szCs w:val="22"/>
        </w:rPr>
        <w:t>Katedra českého jazyka a literatury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Pedagogická fakulta UP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Žižkovo nám. 5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ED724E">
        <w:rPr>
          <w:rFonts w:asciiTheme="minorHAnsi" w:hAnsiTheme="minorHAnsi" w:cs="Arial"/>
          <w:color w:val="000000"/>
          <w:sz w:val="22"/>
          <w:szCs w:val="22"/>
        </w:rPr>
        <w:br/>
        <w:t>771 40 Olomouc</w:t>
      </w:r>
      <w:r w:rsidRPr="00ED724E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</w:p>
    <w:p w:rsidR="00ED724E" w:rsidRPr="00ED724E" w:rsidRDefault="00ED724E" w:rsidP="001B5FA5">
      <w:pPr>
        <w:shd w:val="clear" w:color="auto" w:fill="FFFFFF" w:themeFill="background1"/>
        <w:rPr>
          <w:shd w:val="clear" w:color="auto" w:fill="FFFFFF" w:themeFill="background1"/>
        </w:rPr>
      </w:pPr>
    </w:p>
    <w:p w:rsidR="00A9609E" w:rsidRPr="00ED724E" w:rsidRDefault="00ED724E" w:rsidP="00ED724E">
      <w:pPr>
        <w:pStyle w:val="Odstavecseseznamem"/>
        <w:numPr>
          <w:ilvl w:val="0"/>
          <w:numId w:val="2"/>
        </w:numPr>
        <w:shd w:val="clear" w:color="auto" w:fill="FFFFFF" w:themeFill="background1"/>
        <w:jc w:val="center"/>
        <w:rPr>
          <w:b/>
          <w:shd w:val="clear" w:color="auto" w:fill="FFFFFF" w:themeFill="background1"/>
        </w:rPr>
      </w:pPr>
      <w:r w:rsidRPr="00ED724E">
        <w:rPr>
          <w:b/>
          <w:shd w:val="clear" w:color="auto" w:fill="FFFFFF" w:themeFill="background1"/>
        </w:rPr>
        <w:t>Závěrečná ustanovení</w:t>
      </w:r>
    </w:p>
    <w:p w:rsidR="00ED724E" w:rsidRPr="00ED724E" w:rsidRDefault="00ED724E" w:rsidP="00ED724E">
      <w:pPr>
        <w:shd w:val="clear" w:color="auto" w:fill="FFFFFF" w:themeFill="background1"/>
        <w:jc w:val="both"/>
        <w:rPr>
          <w:shd w:val="clear" w:color="auto" w:fill="FFFFFF" w:themeFill="background1"/>
        </w:rPr>
      </w:pPr>
      <w:r w:rsidRPr="00ED724E">
        <w:rPr>
          <w:shd w:val="clear" w:color="auto" w:fill="FFFFFF" w:themeFill="background1"/>
        </w:rPr>
        <w:t xml:space="preserve">Provozovatel CIV je oprávněn tento Provozně-organizační řád kdykoliv jednostranně měnit nebo doplňovat. Změněný nebo doplněný řád </w:t>
      </w:r>
      <w:proofErr w:type="gramStart"/>
      <w:r w:rsidRPr="00ED724E">
        <w:rPr>
          <w:shd w:val="clear" w:color="auto" w:fill="FFFFFF" w:themeFill="background1"/>
        </w:rPr>
        <w:t>nabývá</w:t>
      </w:r>
      <w:proofErr w:type="gramEnd"/>
      <w:r w:rsidRPr="00ED724E">
        <w:rPr>
          <w:shd w:val="clear" w:color="auto" w:fill="FFFFFF" w:themeFill="background1"/>
        </w:rPr>
        <w:t xml:space="preserve"> účinnosti dnem jeho zveřejnění na webových stránkách </w:t>
      </w:r>
      <w:proofErr w:type="gramStart"/>
      <w:r w:rsidRPr="00ED724E">
        <w:rPr>
          <w:shd w:val="clear" w:color="auto" w:fill="FFFFFF" w:themeFill="background1"/>
        </w:rPr>
        <w:t>CIV</w:t>
      </w:r>
      <w:proofErr w:type="gramEnd"/>
      <w:r w:rsidRPr="00ED724E">
        <w:rPr>
          <w:shd w:val="clear" w:color="auto" w:fill="FFFFFF" w:themeFill="background1"/>
        </w:rPr>
        <w:t>. Aktuální znění Provozního řádu je vždy k dispozici a zveřejněno v prostorách Centra a na internetových stránkách Centra (</w:t>
      </w:r>
      <w:hyperlink r:id="rId36" w:history="1">
        <w:r w:rsidRPr="00ED724E">
          <w:rPr>
            <w:rStyle w:val="Hypertextovodkaz"/>
            <w:shd w:val="clear" w:color="auto" w:fill="FFFFFF" w:themeFill="background1"/>
          </w:rPr>
          <w:t>http://centruminovacipdf.upol.cz</w:t>
        </w:r>
      </w:hyperlink>
      <w:r w:rsidRPr="00ED724E">
        <w:rPr>
          <w:shd w:val="clear" w:color="auto" w:fill="FFFFFF" w:themeFill="background1"/>
        </w:rPr>
        <w:t xml:space="preserve">). </w:t>
      </w:r>
    </w:p>
    <w:p w:rsidR="00ED724E" w:rsidRPr="00ED724E" w:rsidRDefault="00ED724E" w:rsidP="00ED724E">
      <w:pPr>
        <w:shd w:val="clear" w:color="auto" w:fill="FFFFFF" w:themeFill="background1"/>
        <w:jc w:val="both"/>
        <w:rPr>
          <w:shd w:val="clear" w:color="auto" w:fill="FFFFFF" w:themeFill="background1"/>
        </w:rPr>
      </w:pPr>
      <w:r w:rsidRPr="00ED724E">
        <w:rPr>
          <w:shd w:val="clear" w:color="auto" w:fill="FFFFFF" w:themeFill="background1"/>
        </w:rPr>
        <w:t xml:space="preserve">Tento Provozně-organizační řád je platný a účinný ode dne 1. 9. 2014. </w:t>
      </w:r>
    </w:p>
    <w:p w:rsidR="00ED724E" w:rsidRPr="00ED724E" w:rsidRDefault="00ED724E" w:rsidP="001B5FA5">
      <w:pPr>
        <w:shd w:val="clear" w:color="auto" w:fill="FFFFFF" w:themeFill="background1"/>
        <w:rPr>
          <w:shd w:val="clear" w:color="auto" w:fill="FFFFFF" w:themeFill="background1"/>
        </w:rPr>
      </w:pPr>
    </w:p>
    <w:p w:rsidR="00A9609E" w:rsidRPr="00ED724E" w:rsidRDefault="00A9609E" w:rsidP="001B5FA5">
      <w:pPr>
        <w:shd w:val="clear" w:color="auto" w:fill="FFFFFF" w:themeFill="background1"/>
        <w:rPr>
          <w:shd w:val="clear" w:color="auto" w:fill="FFFFFF" w:themeFill="background1"/>
        </w:rPr>
      </w:pPr>
    </w:p>
    <w:p w:rsidR="00ED724E" w:rsidRPr="00ED724E" w:rsidRDefault="00ED724E" w:rsidP="001B5FA5">
      <w:pPr>
        <w:shd w:val="clear" w:color="auto" w:fill="FFFFFF" w:themeFill="background1"/>
        <w:rPr>
          <w:shd w:val="clear" w:color="auto" w:fill="FFFFFF" w:themeFill="background1"/>
        </w:rPr>
      </w:pPr>
    </w:p>
    <w:p w:rsidR="00ED724E" w:rsidRPr="00ED724E" w:rsidRDefault="00ED724E" w:rsidP="001B5FA5">
      <w:pPr>
        <w:shd w:val="clear" w:color="auto" w:fill="FFFFFF" w:themeFill="background1"/>
        <w:rPr>
          <w:shd w:val="clear" w:color="auto" w:fill="FFFFFF" w:themeFill="background1"/>
        </w:rPr>
      </w:pPr>
    </w:p>
    <w:p w:rsidR="0039577A" w:rsidRDefault="00ED724E" w:rsidP="0039577A">
      <w:pPr>
        <w:shd w:val="clear" w:color="auto" w:fill="FFFFFF" w:themeFill="background1"/>
        <w:rPr>
          <w:shd w:val="clear" w:color="auto" w:fill="FFFFFF" w:themeFill="background1"/>
        </w:rPr>
      </w:pPr>
      <w:r w:rsidRPr="00ED724E">
        <w:rPr>
          <w:shd w:val="clear" w:color="auto" w:fill="FFFFFF" w:themeFill="background1"/>
        </w:rPr>
        <w:t xml:space="preserve">doc. PhDr. Hana Marešová, Ph.D.  </w:t>
      </w:r>
    </w:p>
    <w:p w:rsidR="00ED724E" w:rsidRPr="00ED724E" w:rsidRDefault="0039577A" w:rsidP="0039577A">
      <w:pPr>
        <w:shd w:val="clear" w:color="auto" w:fill="FFFFFF" w:themeFill="background1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vedoucí CIV</w:t>
      </w:r>
      <w:bookmarkStart w:id="0" w:name="_GoBack"/>
      <w:bookmarkEnd w:id="0"/>
      <w:r w:rsidR="00ED724E" w:rsidRPr="00ED724E">
        <w:rPr>
          <w:shd w:val="clear" w:color="auto" w:fill="FFFFFF" w:themeFill="background1"/>
        </w:rPr>
        <w:t xml:space="preserve">                                     </w:t>
      </w:r>
    </w:p>
    <w:sectPr w:rsidR="00ED724E" w:rsidRPr="00ED724E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7E" w:rsidRDefault="0030337E" w:rsidP="00ED724E">
      <w:pPr>
        <w:spacing w:after="0" w:line="240" w:lineRule="auto"/>
      </w:pPr>
      <w:r>
        <w:separator/>
      </w:r>
    </w:p>
  </w:endnote>
  <w:endnote w:type="continuationSeparator" w:id="0">
    <w:p w:rsidR="0030337E" w:rsidRDefault="0030337E" w:rsidP="00ED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628869"/>
      <w:docPartObj>
        <w:docPartGallery w:val="Page Numbers (Bottom of Page)"/>
        <w:docPartUnique/>
      </w:docPartObj>
    </w:sdtPr>
    <w:sdtEndPr/>
    <w:sdtContent>
      <w:p w:rsidR="00ED724E" w:rsidRDefault="00ED72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77A">
          <w:rPr>
            <w:noProof/>
          </w:rPr>
          <w:t>5</w:t>
        </w:r>
        <w:r>
          <w:fldChar w:fldCharType="end"/>
        </w:r>
      </w:p>
    </w:sdtContent>
  </w:sdt>
  <w:p w:rsidR="00ED724E" w:rsidRDefault="00ED72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7E" w:rsidRDefault="0030337E" w:rsidP="00ED724E">
      <w:pPr>
        <w:spacing w:after="0" w:line="240" w:lineRule="auto"/>
      </w:pPr>
      <w:r>
        <w:separator/>
      </w:r>
    </w:p>
  </w:footnote>
  <w:footnote w:type="continuationSeparator" w:id="0">
    <w:p w:rsidR="0030337E" w:rsidRDefault="0030337E" w:rsidP="00ED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EB2"/>
    <w:multiLevelType w:val="multilevel"/>
    <w:tmpl w:val="36E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C5714"/>
    <w:multiLevelType w:val="hybridMultilevel"/>
    <w:tmpl w:val="27069F84"/>
    <w:lvl w:ilvl="0" w:tplc="59BC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67281"/>
    <w:multiLevelType w:val="multilevel"/>
    <w:tmpl w:val="104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61D0F"/>
    <w:multiLevelType w:val="multilevel"/>
    <w:tmpl w:val="F4E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34E4A"/>
    <w:multiLevelType w:val="hybridMultilevel"/>
    <w:tmpl w:val="BDCE0678"/>
    <w:lvl w:ilvl="0" w:tplc="3938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A45B2"/>
    <w:multiLevelType w:val="multilevel"/>
    <w:tmpl w:val="17C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57DA4"/>
    <w:multiLevelType w:val="multilevel"/>
    <w:tmpl w:val="A8A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EB"/>
    <w:rsid w:val="00010486"/>
    <w:rsid w:val="00013E89"/>
    <w:rsid w:val="00085D03"/>
    <w:rsid w:val="000957A1"/>
    <w:rsid w:val="000A4C05"/>
    <w:rsid w:val="000A6911"/>
    <w:rsid w:val="000E4438"/>
    <w:rsid w:val="000F1FDB"/>
    <w:rsid w:val="0015336F"/>
    <w:rsid w:val="00164A9B"/>
    <w:rsid w:val="001838FD"/>
    <w:rsid w:val="001B5FA5"/>
    <w:rsid w:val="001C7807"/>
    <w:rsid w:val="001D0E32"/>
    <w:rsid w:val="001D17B7"/>
    <w:rsid w:val="001D5341"/>
    <w:rsid w:val="001D6E66"/>
    <w:rsid w:val="001F73F2"/>
    <w:rsid w:val="00251928"/>
    <w:rsid w:val="002811C8"/>
    <w:rsid w:val="00293CF2"/>
    <w:rsid w:val="002B2D51"/>
    <w:rsid w:val="0030337E"/>
    <w:rsid w:val="00317E04"/>
    <w:rsid w:val="00323F47"/>
    <w:rsid w:val="00372D14"/>
    <w:rsid w:val="00380A48"/>
    <w:rsid w:val="0039269E"/>
    <w:rsid w:val="00392753"/>
    <w:rsid w:val="003944E3"/>
    <w:rsid w:val="0039577A"/>
    <w:rsid w:val="00397D9C"/>
    <w:rsid w:val="00397EAB"/>
    <w:rsid w:val="003E6349"/>
    <w:rsid w:val="003F232E"/>
    <w:rsid w:val="003F5E2C"/>
    <w:rsid w:val="004222A9"/>
    <w:rsid w:val="00431C4A"/>
    <w:rsid w:val="0044450C"/>
    <w:rsid w:val="0044663D"/>
    <w:rsid w:val="0045451D"/>
    <w:rsid w:val="00463B01"/>
    <w:rsid w:val="004649DE"/>
    <w:rsid w:val="00490457"/>
    <w:rsid w:val="00490E0E"/>
    <w:rsid w:val="004C478D"/>
    <w:rsid w:val="004D0F8A"/>
    <w:rsid w:val="00564BAB"/>
    <w:rsid w:val="005A24F9"/>
    <w:rsid w:val="005C4B2D"/>
    <w:rsid w:val="0060218E"/>
    <w:rsid w:val="00616B54"/>
    <w:rsid w:val="00630EB3"/>
    <w:rsid w:val="00632799"/>
    <w:rsid w:val="00647AF4"/>
    <w:rsid w:val="006807DE"/>
    <w:rsid w:val="00682DD7"/>
    <w:rsid w:val="006B46B1"/>
    <w:rsid w:val="006C24D7"/>
    <w:rsid w:val="006C7B92"/>
    <w:rsid w:val="006D1E32"/>
    <w:rsid w:val="00716C74"/>
    <w:rsid w:val="00751649"/>
    <w:rsid w:val="007A358C"/>
    <w:rsid w:val="007C55EE"/>
    <w:rsid w:val="007D158F"/>
    <w:rsid w:val="007D62D0"/>
    <w:rsid w:val="00812F66"/>
    <w:rsid w:val="00825087"/>
    <w:rsid w:val="008526B2"/>
    <w:rsid w:val="00870878"/>
    <w:rsid w:val="008725BE"/>
    <w:rsid w:val="00872C1C"/>
    <w:rsid w:val="00875027"/>
    <w:rsid w:val="00887581"/>
    <w:rsid w:val="00891C84"/>
    <w:rsid w:val="008A0F64"/>
    <w:rsid w:val="008A68EB"/>
    <w:rsid w:val="008E40D8"/>
    <w:rsid w:val="00967C5A"/>
    <w:rsid w:val="00981841"/>
    <w:rsid w:val="00984522"/>
    <w:rsid w:val="009C1B61"/>
    <w:rsid w:val="009E5AAC"/>
    <w:rsid w:val="009F028B"/>
    <w:rsid w:val="009F7DE2"/>
    <w:rsid w:val="00A9609E"/>
    <w:rsid w:val="00AA2FB5"/>
    <w:rsid w:val="00AA53CD"/>
    <w:rsid w:val="00AB3D23"/>
    <w:rsid w:val="00AC4F92"/>
    <w:rsid w:val="00AF249E"/>
    <w:rsid w:val="00B11C82"/>
    <w:rsid w:val="00B25F78"/>
    <w:rsid w:val="00B56190"/>
    <w:rsid w:val="00B57072"/>
    <w:rsid w:val="00B57ED7"/>
    <w:rsid w:val="00B76177"/>
    <w:rsid w:val="00B81A4F"/>
    <w:rsid w:val="00BC12CB"/>
    <w:rsid w:val="00BD550D"/>
    <w:rsid w:val="00BF410B"/>
    <w:rsid w:val="00BF4CB2"/>
    <w:rsid w:val="00C022AD"/>
    <w:rsid w:val="00C07B21"/>
    <w:rsid w:val="00C11937"/>
    <w:rsid w:val="00C151F6"/>
    <w:rsid w:val="00C714EB"/>
    <w:rsid w:val="00C80098"/>
    <w:rsid w:val="00C96388"/>
    <w:rsid w:val="00CC2335"/>
    <w:rsid w:val="00D47CC4"/>
    <w:rsid w:val="00D66200"/>
    <w:rsid w:val="00D67868"/>
    <w:rsid w:val="00D711FF"/>
    <w:rsid w:val="00D9471C"/>
    <w:rsid w:val="00DC27F9"/>
    <w:rsid w:val="00DD0E75"/>
    <w:rsid w:val="00DD1A89"/>
    <w:rsid w:val="00DF380A"/>
    <w:rsid w:val="00E13C6B"/>
    <w:rsid w:val="00E47FDB"/>
    <w:rsid w:val="00E65235"/>
    <w:rsid w:val="00EB051E"/>
    <w:rsid w:val="00ED27F7"/>
    <w:rsid w:val="00ED724E"/>
    <w:rsid w:val="00EE2317"/>
    <w:rsid w:val="00EF7B0E"/>
    <w:rsid w:val="00F015C3"/>
    <w:rsid w:val="00F36E7D"/>
    <w:rsid w:val="00F5488B"/>
    <w:rsid w:val="00F61B3F"/>
    <w:rsid w:val="00F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8E366-4706-4083-A314-261B9A15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609E"/>
    <w:rPr>
      <w:b/>
      <w:bCs/>
    </w:rPr>
  </w:style>
  <w:style w:type="character" w:customStyle="1" w:styleId="fontmedium">
    <w:name w:val="fontmedium"/>
    <w:basedOn w:val="Standardnpsmoodstavce"/>
    <w:rsid w:val="00A9609E"/>
  </w:style>
  <w:style w:type="character" w:customStyle="1" w:styleId="fontsmall">
    <w:name w:val="fontsmall"/>
    <w:basedOn w:val="Standardnpsmoodstavce"/>
    <w:rsid w:val="00A9609E"/>
  </w:style>
  <w:style w:type="character" w:customStyle="1" w:styleId="apple-converted-space">
    <w:name w:val="apple-converted-space"/>
    <w:basedOn w:val="Standardnpsmoodstavce"/>
    <w:rsid w:val="00A9609E"/>
  </w:style>
  <w:style w:type="character" w:styleId="Zdraznn">
    <w:name w:val="Emphasis"/>
    <w:basedOn w:val="Standardnpsmoodstavce"/>
    <w:uiPriority w:val="20"/>
    <w:qFormat/>
    <w:rsid w:val="00A9609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9609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A9609E"/>
    <w:rPr>
      <w:i/>
      <w:iCs/>
    </w:rPr>
  </w:style>
  <w:style w:type="paragraph" w:styleId="Odstavecseseznamem">
    <w:name w:val="List Paragraph"/>
    <w:basedOn w:val="Normln"/>
    <w:uiPriority w:val="34"/>
    <w:qFormat/>
    <w:rsid w:val="00ED72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24E"/>
  </w:style>
  <w:style w:type="paragraph" w:styleId="Zpat">
    <w:name w:val="footer"/>
    <w:basedOn w:val="Normln"/>
    <w:link w:val="ZpatChar"/>
    <w:uiPriority w:val="99"/>
    <w:unhideWhenUsed/>
    <w:rsid w:val="00ED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24E"/>
  </w:style>
  <w:style w:type="character" w:customStyle="1" w:styleId="download">
    <w:name w:val="download"/>
    <w:basedOn w:val="Standardnpsmoodstavce"/>
    <w:rsid w:val="00616B54"/>
  </w:style>
  <w:style w:type="paragraph" w:customStyle="1" w:styleId="trexppnaz">
    <w:name w:val="trexppnaz"/>
    <w:basedOn w:val="Normln"/>
    <w:rsid w:val="0061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xppjinynaz">
    <w:name w:val="trexppjinynaz"/>
    <w:basedOn w:val="Normln"/>
    <w:rsid w:val="0061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k4inovace.cz/aktivity-16.html" TargetMode="External"/><Relationship Id="rId18" Type="http://schemas.openxmlformats.org/officeDocument/2006/relationships/hyperlink" Target="http://www.ccv.upol.cz/cms_dokumenty/metodika-pp_zakon-c.197-2014_final.docx" TargetMode="External"/><Relationship Id="rId26" Type="http://schemas.openxmlformats.org/officeDocument/2006/relationships/hyperlink" Target="http://www.ccv.upol.cz/cms_dokumenty/pravidla-parkovani-s6_2009park.do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cv.upol.cz/cms_dokumenty/412_06nov317.pdf" TargetMode="External"/><Relationship Id="rId34" Type="http://schemas.openxmlformats.org/officeDocument/2006/relationships/hyperlink" Target="mailto:martina.bartonickova@upol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dborict.upol.cz/" TargetMode="External"/><Relationship Id="rId17" Type="http://schemas.openxmlformats.org/officeDocument/2006/relationships/hyperlink" Target="http://www.ccv.upol.cz/cms_dokumenty/platne_zneni_zakona-563-2004.doc" TargetMode="External"/><Relationship Id="rId25" Type="http://schemas.openxmlformats.org/officeDocument/2006/relationships/hyperlink" Target="http://www.ccv.upol.cz/cms_dokumenty/skudium-v-kred.-sysm1_2009kred.doc" TargetMode="External"/><Relationship Id="rId33" Type="http://schemas.openxmlformats.org/officeDocument/2006/relationships/hyperlink" Target="mailto:veronika.machowska@upol.cz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cv.upol.cz/cms_dokumenty/sb0068-2012-198-2012.pdf" TargetMode="External"/><Relationship Id="rId20" Type="http://schemas.openxmlformats.org/officeDocument/2006/relationships/hyperlink" Target="http://www.ccv.upol.cz/cms_dokumenty/317_2005.pdf" TargetMode="External"/><Relationship Id="rId29" Type="http://schemas.openxmlformats.org/officeDocument/2006/relationships/hyperlink" Target="mailto:hana.maresova@upol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v.upol.cz/cz/rubriky/centrum-inovaci-ve-vzdelavani/" TargetMode="External"/><Relationship Id="rId24" Type="http://schemas.openxmlformats.org/officeDocument/2006/relationships/hyperlink" Target="http://www.ccv.upol.cz/cms_dokumenty/postup-pri-vyb-popl-2m_2009.doc" TargetMode="External"/><Relationship Id="rId32" Type="http://schemas.openxmlformats.org/officeDocument/2006/relationships/hyperlink" Target="mailto:veronika.machowska@upol.cz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cv.upol.cz/cms_dokumenty/563_2004_sb.pdf" TargetMode="External"/><Relationship Id="rId23" Type="http://schemas.openxmlformats.org/officeDocument/2006/relationships/hyperlink" Target="http://www.esipa.cz/sbirka/sbsrv.dll/sb?DR=SB&amp;CP=2014s272" TargetMode="External"/><Relationship Id="rId28" Type="http://schemas.openxmlformats.org/officeDocument/2006/relationships/hyperlink" Target="http://www.ccv.upol.cz/cms_dokumenty/1s_2012_rad_celozivotniho.doc" TargetMode="External"/><Relationship Id="rId36" Type="http://schemas.openxmlformats.org/officeDocument/2006/relationships/hyperlink" Target="http://centruminovacipdf.upol.cz" TargetMode="External"/><Relationship Id="rId10" Type="http://schemas.openxmlformats.org/officeDocument/2006/relationships/hyperlink" Target="http://www.centruminovacipdf.upol.cz" TargetMode="External"/><Relationship Id="rId19" Type="http://schemas.openxmlformats.org/officeDocument/2006/relationships/hyperlink" Target="http://www.ccv.upol.cz/cms_dokumenty/metodika-pp_zakon-c.197-2014_final.docx" TargetMode="External"/><Relationship Id="rId31" Type="http://schemas.openxmlformats.org/officeDocument/2006/relationships/hyperlink" Target="mailto:milan.klement@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maresova@upol.cz" TargetMode="External"/><Relationship Id="rId14" Type="http://schemas.openxmlformats.org/officeDocument/2006/relationships/hyperlink" Target="http://www.ccv.upol.cz/cms_dokumenty/111_1998_aktual.doc" TargetMode="External"/><Relationship Id="rId22" Type="http://schemas.openxmlformats.org/officeDocument/2006/relationships/hyperlink" Target="http://www.ccv.upol.cz/cms_dokumenty/sb0128-2013.pdf" TargetMode="External"/><Relationship Id="rId27" Type="http://schemas.openxmlformats.org/officeDocument/2006/relationships/hyperlink" Target="http://www.ccv.upol.cz/cms_dokumenty/szr_up_2011.pdf" TargetMode="External"/><Relationship Id="rId30" Type="http://schemas.openxmlformats.org/officeDocument/2006/relationships/hyperlink" Target="mailto:david.nocar@upol.cz" TargetMode="External"/><Relationship Id="rId35" Type="http://schemas.openxmlformats.org/officeDocument/2006/relationships/hyperlink" Target="mailto:petra.jurnikova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1BE0-4C56-4510-87AC-582DF8D5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2298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2015-03-23T21:59:00Z</dcterms:created>
  <dcterms:modified xsi:type="dcterms:W3CDTF">2015-03-23T23:44:00Z</dcterms:modified>
</cp:coreProperties>
</file>